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8B1B5B" w14:textId="1B6B2837" w:rsidR="00524D84" w:rsidRPr="005F6794" w:rsidRDefault="005F6794" w:rsidP="005F6794">
      <w:pPr>
        <w:ind w:left="7080"/>
        <w:jc w:val="center"/>
      </w:pPr>
      <w:permStart w:id="641285114" w:edGrp="everyone"/>
      <w:permEnd w:id="641285114"/>
      <w:r w:rsidRPr="005F6794">
        <w:t>24 kwietnia 2026 r.</w:t>
      </w:r>
    </w:p>
    <w:p w14:paraId="5308EAC9" w14:textId="540DBA41" w:rsidR="000D03D4" w:rsidRDefault="000D03D4" w:rsidP="005F6794">
      <w:pPr>
        <w:jc w:val="center"/>
      </w:pPr>
      <w:r w:rsidRPr="000D03D4">
        <w:rPr>
          <w:b/>
          <w:bCs/>
          <w:sz w:val="32"/>
          <w:szCs w:val="32"/>
        </w:rPr>
        <w:t>Dokument konsultacyjny w sprawie zmiany zasad szybkiej ścieżki</w:t>
      </w:r>
    </w:p>
    <w:p w14:paraId="26CEF7C9" w14:textId="2981339F" w:rsidR="007823AF" w:rsidRDefault="000A7E07" w:rsidP="0083496F">
      <w:pPr>
        <w:jc w:val="both"/>
      </w:pPr>
      <w:r>
        <w:t xml:space="preserve">GPW Benchmark S.A. </w:t>
      </w:r>
      <w:r w:rsidR="00342C01">
        <w:t>(dalej</w:t>
      </w:r>
      <w:r w:rsidR="00524D84">
        <w:t>:</w:t>
      </w:r>
      <w:r w:rsidR="00342C01">
        <w:t xml:space="preserve"> „Administrator”) </w:t>
      </w:r>
      <w:r>
        <w:t>prowadzi konsultacje publiczne w sprawie zmiany metody opracowywania Indeksów Giełdowych w zakresie zasad przeprowadzania nadzwyczajnej korekty listy Uczestników Indeks</w:t>
      </w:r>
      <w:r w:rsidR="00342C01">
        <w:t>ów</w:t>
      </w:r>
      <w:r w:rsidR="00691619">
        <w:t xml:space="preserve"> Giełdowych w związku z</w:t>
      </w:r>
      <w:r w:rsidR="00155CBD">
        <w:t> </w:t>
      </w:r>
      <w:r w:rsidR="00691619">
        <w:t>wprowadzeniem nowej spółki po debiucie na Głównym Rynku GPW lub w</w:t>
      </w:r>
      <w:r w:rsidR="00155CBD">
        <w:t> </w:t>
      </w:r>
      <w:r w:rsidR="00691619">
        <w:t xml:space="preserve">Alternatywnym Systemie Obrotu, w szczególności w indeksach </w:t>
      </w:r>
      <w:r w:rsidR="00342C01">
        <w:t>WIG20, mWIG40</w:t>
      </w:r>
      <w:r w:rsidR="00691619">
        <w:t>,</w:t>
      </w:r>
      <w:r w:rsidR="00524D84">
        <w:t xml:space="preserve"> </w:t>
      </w:r>
      <w:r w:rsidR="00342C01">
        <w:t>sWIG80</w:t>
      </w:r>
      <w:r w:rsidR="00691619">
        <w:t xml:space="preserve"> oraz WIG30</w:t>
      </w:r>
      <w:r w:rsidR="00342C01">
        <w:t xml:space="preserve"> </w:t>
      </w:r>
      <w:r>
        <w:t>w ramach tzw. szybkiej ścieżki, o której mowa w pkt. 5.2.20, 5.4.18</w:t>
      </w:r>
      <w:r w:rsidR="00691619">
        <w:t>,</w:t>
      </w:r>
      <w:r w:rsidR="00524D84">
        <w:t xml:space="preserve"> </w:t>
      </w:r>
      <w:r>
        <w:t xml:space="preserve">5.6.18 </w:t>
      </w:r>
      <w:r w:rsidR="00691619">
        <w:t xml:space="preserve">oraz 5.8.20 </w:t>
      </w:r>
      <w:r>
        <w:t xml:space="preserve">Regulaminu </w:t>
      </w:r>
      <w:r w:rsidR="00691619">
        <w:t xml:space="preserve">Rodziny </w:t>
      </w:r>
      <w:r>
        <w:t>Indeksów Giełdowych</w:t>
      </w:r>
      <w:r w:rsidR="00342C01">
        <w:t xml:space="preserve"> (dalej: „Regulamin”)</w:t>
      </w:r>
      <w:r>
        <w:t xml:space="preserve">. </w:t>
      </w:r>
    </w:p>
    <w:p w14:paraId="1862002C" w14:textId="5CA622B1" w:rsidR="000A7E07" w:rsidRDefault="00342C01" w:rsidP="0083496F">
      <w:pPr>
        <w:jc w:val="both"/>
      </w:pPr>
      <w:r>
        <w:t xml:space="preserve">Zasady </w:t>
      </w:r>
      <w:r w:rsidRPr="00342C01">
        <w:t>kwalifikacji i wpisani</w:t>
      </w:r>
      <w:r>
        <w:t>a</w:t>
      </w:r>
      <w:r w:rsidRPr="00342C01">
        <w:t xml:space="preserve"> na listę Uczestników </w:t>
      </w:r>
      <w:r>
        <w:t xml:space="preserve">danego </w:t>
      </w:r>
      <w:r w:rsidRPr="00342C01">
        <w:t>Indeksu nowo wprowadzanej do Obrotu Giełdowego Spółki</w:t>
      </w:r>
      <w:r w:rsidR="00BC3819">
        <w:t xml:space="preserve">, w tym zasady </w:t>
      </w:r>
      <w:r w:rsidR="00155CBD">
        <w:t xml:space="preserve">tzw. </w:t>
      </w:r>
      <w:r w:rsidR="00BC3819">
        <w:t xml:space="preserve">szybkiej ścieżki </w:t>
      </w:r>
      <w:r w:rsidR="00EE4565">
        <w:t>opierają się na kryteriach dotyczących akcji, tak w zakresie kursu</w:t>
      </w:r>
      <w:r w:rsidR="00524D84">
        <w:t>,</w:t>
      </w:r>
      <w:r w:rsidR="00EE4565">
        <w:t xml:space="preserve"> jak i liczby akcji w wolnym obrocie ustalonej na podstawie akcji zarejestrowanych w KRS.</w:t>
      </w:r>
    </w:p>
    <w:p w14:paraId="66F66AEC" w14:textId="6C8DC886" w:rsidR="00342C01" w:rsidRDefault="00342C01" w:rsidP="0083496F">
      <w:pPr>
        <w:jc w:val="both"/>
      </w:pPr>
      <w:r>
        <w:t xml:space="preserve">Powyższe sformułowanie, </w:t>
      </w:r>
      <w:r w:rsidR="00EE4565">
        <w:t xml:space="preserve">stanowiące reprezentację utrwalonej praktyki rynkowej, </w:t>
      </w:r>
      <w:r>
        <w:t>mając na uwadze decyzję Komitetu Nadzorczego Wskaźników Referencyjnych Rynku Kapitałowego</w:t>
      </w:r>
      <w:r w:rsidR="00C95CE3">
        <w:t xml:space="preserve"> (</w:t>
      </w:r>
      <w:r w:rsidR="00524D84">
        <w:t>dalej: „</w:t>
      </w:r>
      <w:r w:rsidR="00C95CE3">
        <w:t>KN WRK</w:t>
      </w:r>
      <w:r w:rsidR="00524D84">
        <w:t>”</w:t>
      </w:r>
      <w:r w:rsidR="00C95CE3">
        <w:t>)</w:t>
      </w:r>
      <w:r>
        <w:t xml:space="preserve">, stanowi przedmiot konsultacji publicznych w </w:t>
      </w:r>
      <w:r w:rsidR="00CE4EA1">
        <w:t>związku z</w:t>
      </w:r>
      <w:r w:rsidR="00155CBD">
        <w:t> </w:t>
      </w:r>
      <w:r w:rsidR="00CE4EA1">
        <w:t>identyfikacją sytuacji</w:t>
      </w:r>
      <w:r w:rsidR="00EE4565">
        <w:t>,</w:t>
      </w:r>
      <w:r w:rsidR="00CE4EA1">
        <w:t xml:space="preserve"> w których wprowadzenie spółki do obrotu opiera się </w:t>
      </w:r>
      <w:r w:rsidR="00EE4565">
        <w:t xml:space="preserve">wyłącznie </w:t>
      </w:r>
      <w:r w:rsidR="00CE4EA1">
        <w:t>na prawach do akcji (</w:t>
      </w:r>
      <w:r w:rsidR="00464EEA">
        <w:t>dalej: „</w:t>
      </w:r>
      <w:r w:rsidR="00CE4EA1">
        <w:t>PDA</w:t>
      </w:r>
      <w:r w:rsidR="00464EEA">
        <w:t>”</w:t>
      </w:r>
      <w:r w:rsidR="00CE4EA1">
        <w:t xml:space="preserve">). </w:t>
      </w:r>
    </w:p>
    <w:p w14:paraId="7BE23F6A" w14:textId="1652AFEC" w:rsidR="0083496F" w:rsidRPr="0083496F" w:rsidRDefault="00464EEA" w:rsidP="0083496F">
      <w:pPr>
        <w:jc w:val="both"/>
      </w:pPr>
      <w:r>
        <w:t xml:space="preserve">PDA </w:t>
      </w:r>
      <w:r w:rsidR="00CE4EA1" w:rsidRPr="00CE4EA1">
        <w:t xml:space="preserve">to papier wartościowy, który daje jego posiadaczowi uprawnienie do otrzymania akcji nowej emisji spółki publicznej, zanim akcje te zostaną formalnie zarejestrowane. PDA ma charakter tymczasowy – po rejestracji </w:t>
      </w:r>
      <w:r w:rsidR="00EE4565">
        <w:t xml:space="preserve">w KRS </w:t>
      </w:r>
      <w:r w:rsidR="00CE4EA1" w:rsidRPr="00CE4EA1">
        <w:t>automatycznie zamienia się w akcje.</w:t>
      </w:r>
      <w:r w:rsidR="00CE4EA1">
        <w:t xml:space="preserve"> PDA nie może stanowić podstawy do przeprowadzenia kwalifikacji spółki jako Uczestnika Indeksu, ponieważ jak stanowi Regulamin uwarunkowania ilościowe kwalifikacji odnoszą się do akcji</w:t>
      </w:r>
      <w:r w:rsidR="0083496F">
        <w:t xml:space="preserve"> (zgodnie z definicją np. Pakietu Akcji </w:t>
      </w:r>
      <w:r w:rsidR="00EE4565">
        <w:t xml:space="preserve">czy </w:t>
      </w:r>
      <w:r w:rsidR="00524D84">
        <w:t>Kapitalizacji</w:t>
      </w:r>
      <w:r w:rsidR="00EE4565">
        <w:t xml:space="preserve"> Pakietu</w:t>
      </w:r>
      <w:r w:rsidR="0083496F">
        <w:t>)</w:t>
      </w:r>
      <w:r w:rsidR="00CE4EA1">
        <w:t xml:space="preserve">, </w:t>
      </w:r>
      <w:r w:rsidR="0083496F">
        <w:t>niezależnie od faktu</w:t>
      </w:r>
      <w:r w:rsidR="00CE4EA1">
        <w:t>, że PDA mogą być przedmiotem obrotu giełdowego</w:t>
      </w:r>
      <w:r w:rsidR="0083496F">
        <w:t xml:space="preserve"> zgodnie z u</w:t>
      </w:r>
      <w:r w:rsidR="0083496F" w:rsidRPr="0083496F">
        <w:t>staw</w:t>
      </w:r>
      <w:r w:rsidR="0083496F">
        <w:t xml:space="preserve">ą </w:t>
      </w:r>
      <w:r w:rsidR="0083496F" w:rsidRPr="0083496F">
        <w:t>z dnia 29 lipca 2005 r. o obrocie instrumentami finansowymi</w:t>
      </w:r>
      <w:r w:rsidR="009731AF">
        <w:t>,</w:t>
      </w:r>
      <w:r w:rsidR="009731AF" w:rsidRPr="009731AF">
        <w:t xml:space="preserve"> z </w:t>
      </w:r>
      <w:proofErr w:type="spellStart"/>
      <w:r w:rsidR="009731AF" w:rsidRPr="009731AF">
        <w:t>późn</w:t>
      </w:r>
      <w:proofErr w:type="spellEnd"/>
      <w:r w:rsidR="009731AF" w:rsidRPr="009731AF">
        <w:t>. zm</w:t>
      </w:r>
      <w:r w:rsidR="0083496F">
        <w:t xml:space="preserve">. </w:t>
      </w:r>
    </w:p>
    <w:p w14:paraId="4AF6849E" w14:textId="7D33B24B" w:rsidR="00CE4EA1" w:rsidRDefault="0083496F" w:rsidP="0083496F">
      <w:pPr>
        <w:jc w:val="both"/>
      </w:pPr>
      <w:r>
        <w:t xml:space="preserve">Jednocześnie Regulamin odnosi się do pojęcia debiutu jako </w:t>
      </w:r>
      <w:r w:rsidRPr="0083496F">
        <w:t>pierwszego wprowadzenia Spółki do Obrotu Giełdowego</w:t>
      </w:r>
      <w:r w:rsidR="00464EEA">
        <w:t xml:space="preserve">. Oznacza to, że w sytuacji pierwszego </w:t>
      </w:r>
      <w:r w:rsidR="00EE4565">
        <w:t xml:space="preserve">wprowadzenia </w:t>
      </w:r>
      <w:r w:rsidR="00464EEA">
        <w:t xml:space="preserve">Spółki do Obrotu Giełdowego na podstawie PDA, nie jest możliwe przeprowadzenie nadzwyczajnej korekty </w:t>
      </w:r>
      <w:r w:rsidR="00EE4565">
        <w:t xml:space="preserve">wpisania na listę Uczestników danego Indeksu, </w:t>
      </w:r>
      <w:r w:rsidR="00464EEA">
        <w:t>w</w:t>
      </w:r>
      <w:r w:rsidR="00EE4565">
        <w:t xml:space="preserve"> tym w</w:t>
      </w:r>
      <w:r w:rsidR="005F6794">
        <w:t> </w:t>
      </w:r>
      <w:r w:rsidR="00EE4565">
        <w:t>szczególności w</w:t>
      </w:r>
      <w:r w:rsidR="00464EEA">
        <w:t xml:space="preserve"> postaci </w:t>
      </w:r>
      <w:r w:rsidR="00524D84">
        <w:t xml:space="preserve">tzw. </w:t>
      </w:r>
      <w:r w:rsidR="00464EEA">
        <w:t xml:space="preserve">szybkiej ścieżki. </w:t>
      </w:r>
    </w:p>
    <w:p w14:paraId="16932BC8" w14:textId="519C1CDE" w:rsidR="00464EEA" w:rsidRDefault="00464EEA" w:rsidP="0083496F">
      <w:pPr>
        <w:jc w:val="both"/>
      </w:pPr>
      <w:r>
        <w:t xml:space="preserve">Mając na uwadze ww. uwarunkowania Administrator prowadzi weryfikację stanowiska </w:t>
      </w:r>
      <w:r w:rsidR="00524D84">
        <w:t>U</w:t>
      </w:r>
      <w:r w:rsidR="00FC1126">
        <w:t xml:space="preserve">żytkowników </w:t>
      </w:r>
      <w:r w:rsidR="00791A8C">
        <w:t>I</w:t>
      </w:r>
      <w:r w:rsidR="00FC1126">
        <w:t>ndeksu i interesariuszy w zakresie wprowadzenia postanowienia w</w:t>
      </w:r>
      <w:r w:rsidR="00DD324B">
        <w:t> </w:t>
      </w:r>
      <w:r w:rsidR="00FC1126">
        <w:t xml:space="preserve">Regulaminie zakładającego dopuszczenie przeprowadzenia </w:t>
      </w:r>
      <w:r w:rsidR="00EE4565">
        <w:t xml:space="preserve">kwalifikacji spółki po debiucie, w tym w ramach </w:t>
      </w:r>
      <w:r w:rsidR="00FC1126">
        <w:t xml:space="preserve">tzw. szybkiej ścieżki </w:t>
      </w:r>
      <w:r w:rsidR="00DD324B">
        <w:t xml:space="preserve">dla Spółek wprowadzonych do obrotu </w:t>
      </w:r>
      <w:r w:rsidR="003E405E">
        <w:t>poprzez PDA</w:t>
      </w:r>
      <w:r w:rsidR="00CC7D13">
        <w:t xml:space="preserve">, </w:t>
      </w:r>
      <w:r w:rsidR="00EE4565">
        <w:t xml:space="preserve">gdzie debiut Spółki na potrzeby </w:t>
      </w:r>
      <w:r w:rsidR="00524D84">
        <w:t>I</w:t>
      </w:r>
      <w:r w:rsidR="00EE4565">
        <w:t xml:space="preserve">ndeksów Giełdowych będzie </w:t>
      </w:r>
      <w:r w:rsidR="00EE4565">
        <w:lastRenderedPageBreak/>
        <w:t xml:space="preserve">identyfikowany zgodnie z datą wprowadzenia do obrotu akcji Spółki po ich rejestracji przez  </w:t>
      </w:r>
      <w:r w:rsidR="00524D84">
        <w:t xml:space="preserve">Sąd w </w:t>
      </w:r>
      <w:r w:rsidR="00EE4565">
        <w:t xml:space="preserve">KRS </w:t>
      </w:r>
      <w:r w:rsidR="00791A8C">
        <w:t xml:space="preserve">(rozumianej jako operacja </w:t>
      </w:r>
      <w:r w:rsidR="00CC7D13">
        <w:t xml:space="preserve">konwersji PDA </w:t>
      </w:r>
      <w:r w:rsidR="00487905">
        <w:t>w akcje</w:t>
      </w:r>
      <w:r w:rsidR="00791A8C">
        <w:t>)</w:t>
      </w:r>
      <w:r w:rsidR="003602D1">
        <w:t xml:space="preserve">. </w:t>
      </w:r>
    </w:p>
    <w:p w14:paraId="7EA6D428" w14:textId="23D99D2B" w:rsidR="00E604AC" w:rsidRDefault="00FC1544" w:rsidP="0083496F">
      <w:pPr>
        <w:jc w:val="both"/>
      </w:pPr>
      <w:r>
        <w:t xml:space="preserve">Jednocześnie Administrator uznaje </w:t>
      </w:r>
      <w:r w:rsidR="00545CCB">
        <w:t>odmienność uwarunkowań sytuacji przeprowadzenia</w:t>
      </w:r>
      <w:r w:rsidR="00791A8C">
        <w:t xml:space="preserve"> korekty nadzwyczajnej polegającej na </w:t>
      </w:r>
      <w:r w:rsidR="002A212A">
        <w:t>włączeniu</w:t>
      </w:r>
      <w:r w:rsidR="00791A8C">
        <w:t xml:space="preserve"> Spółki na listę Indeksów </w:t>
      </w:r>
      <w:r w:rsidR="002A212A">
        <w:t>Giełdowych</w:t>
      </w:r>
      <w:r w:rsidR="00791A8C">
        <w:t>, w</w:t>
      </w:r>
      <w:r w:rsidR="005F6794">
        <w:t> </w:t>
      </w:r>
      <w:r w:rsidR="00791A8C">
        <w:t xml:space="preserve">tym w szczególności w ramach </w:t>
      </w:r>
      <w:r w:rsidR="00524D84">
        <w:t xml:space="preserve">tzw. </w:t>
      </w:r>
      <w:r w:rsidR="00545CCB">
        <w:t xml:space="preserve">szybkiej ścieżki </w:t>
      </w:r>
      <w:r w:rsidR="00764AD0">
        <w:t xml:space="preserve">dla podmiotów wprowadzonych do obrotu na podstawie akcji, dla których </w:t>
      </w:r>
      <w:r w:rsidR="00870E1D">
        <w:t xml:space="preserve">dzień pierwszego notowania stanowi podstawę kwalifikacji, oraz podmiotu, którego prawa do akcji pozostają w obrocie i pozwalają na </w:t>
      </w:r>
      <w:r w:rsidR="00963D5E">
        <w:t>obserwację sytuacji rynkowej tej Spółki na podstawie PDA.</w:t>
      </w:r>
      <w:r w:rsidR="003060E7">
        <w:t xml:space="preserve"> W przypadku wprowadzenia</w:t>
      </w:r>
      <w:r w:rsidR="00577D5E">
        <w:t xml:space="preserve"> zmiany </w:t>
      </w:r>
      <w:r w:rsidR="00791A8C">
        <w:t xml:space="preserve">ww. </w:t>
      </w:r>
      <w:r w:rsidR="00577D5E">
        <w:t>zasad</w:t>
      </w:r>
      <w:r w:rsidR="00BC5E6B">
        <w:t xml:space="preserve">, </w:t>
      </w:r>
      <w:r w:rsidR="009C1A0C">
        <w:t xml:space="preserve">Administrator uznaje za zasadne uwzględnienie w procesie kwalifikacji informacji </w:t>
      </w:r>
      <w:r w:rsidR="00943CD0">
        <w:t>z okresu notowania</w:t>
      </w:r>
      <w:r w:rsidR="0016422F">
        <w:t xml:space="preserve"> PDA</w:t>
      </w:r>
      <w:r w:rsidR="00943CD0">
        <w:t xml:space="preserve">, a nie tylko </w:t>
      </w:r>
      <w:r w:rsidR="007D1D6A">
        <w:t xml:space="preserve">z </w:t>
      </w:r>
      <w:r w:rsidR="00943CD0">
        <w:t>dni</w:t>
      </w:r>
      <w:r w:rsidR="007D1D6A">
        <w:t>a</w:t>
      </w:r>
      <w:r w:rsidR="00943CD0">
        <w:t xml:space="preserve"> </w:t>
      </w:r>
      <w:r w:rsidR="007D1D6A">
        <w:t>wprowadzenia do obrotu akcji</w:t>
      </w:r>
      <w:r w:rsidR="00943CD0">
        <w:t xml:space="preserve">, co ogranicza ryzyko </w:t>
      </w:r>
      <w:r w:rsidR="00374CB6">
        <w:t xml:space="preserve">próby dokonania </w:t>
      </w:r>
      <w:r w:rsidR="005B11F0">
        <w:t>nieuprawnionego wpływu</w:t>
      </w:r>
      <w:r w:rsidR="00F43DF7">
        <w:t>.</w:t>
      </w:r>
      <w:r w:rsidR="00A56512">
        <w:t xml:space="preserve"> Uwzględnienie informacji </w:t>
      </w:r>
      <w:r w:rsidR="00FA1873">
        <w:t xml:space="preserve">na temat stanu </w:t>
      </w:r>
      <w:r w:rsidR="00904A93">
        <w:t xml:space="preserve">wyceny </w:t>
      </w:r>
      <w:r w:rsidR="00FA1873">
        <w:t xml:space="preserve">dotyczącej Spółki z </w:t>
      </w:r>
      <w:r w:rsidR="00706890">
        <w:t xml:space="preserve">okresu obejmującego </w:t>
      </w:r>
      <w:r w:rsidR="00FA1873">
        <w:t>kilk</w:t>
      </w:r>
      <w:r w:rsidR="00706890">
        <w:t>a</w:t>
      </w:r>
      <w:r w:rsidR="00FA1873">
        <w:t xml:space="preserve"> dni </w:t>
      </w:r>
      <w:r w:rsidR="00706890">
        <w:t xml:space="preserve">notowania </w:t>
      </w:r>
      <w:r w:rsidR="00FA1873">
        <w:t>wpisuje się w praktyki rynkowe niektórych</w:t>
      </w:r>
      <w:r w:rsidR="00EF7BA6">
        <w:t xml:space="preserve"> innych podmiotów opracowujących wskaźniki referencyjne</w:t>
      </w:r>
      <w:r w:rsidR="00E604AC">
        <w:t xml:space="preserve">. </w:t>
      </w:r>
    </w:p>
    <w:p w14:paraId="698D2BBC" w14:textId="21611E2E" w:rsidR="00706890" w:rsidRDefault="00706890" w:rsidP="0083496F">
      <w:pPr>
        <w:jc w:val="both"/>
      </w:pPr>
      <w:r>
        <w:t>Administrator przeprowadził analizy przebiegu kursu Spółek debiutujących poprzez PDA i</w:t>
      </w:r>
      <w:r w:rsidR="005F6794">
        <w:t> </w:t>
      </w:r>
      <w:r>
        <w:t>w większości przypadków, nie zaobserwowano znaczącej zmiany wyceny Spółki po momencie konwersji z PDA na akcje. Zmiany zaobserwowano jedynie w wyjątkowych przypadkach. Warto odnotować przy tym, że analizowane przypadki dotyczyły Spółek w</w:t>
      </w:r>
      <w:r w:rsidR="005F6794">
        <w:t> </w:t>
      </w:r>
      <w:r>
        <w:t>okresie 2001-2021, po tym okresie nie odnotowano takich przypadków. </w:t>
      </w:r>
    </w:p>
    <w:p w14:paraId="75BE0F2D" w14:textId="77777777" w:rsidR="00706890" w:rsidRDefault="00706890" w:rsidP="0083496F">
      <w:pPr>
        <w:jc w:val="both"/>
      </w:pPr>
    </w:p>
    <w:p w14:paraId="2425685A" w14:textId="3C872CE4" w:rsidR="004438F0" w:rsidRDefault="00706890" w:rsidP="0083496F">
      <w:pPr>
        <w:jc w:val="both"/>
      </w:pPr>
      <w:r>
        <w:t>W zakresie proceduralnej klasyfikacji wprowadzanych zmian Administrator wskazuje, że p</w:t>
      </w:r>
      <w:r w:rsidR="00F77529">
        <w:t xml:space="preserve">ropozycja </w:t>
      </w:r>
      <w:r w:rsidR="00AD3181">
        <w:t>zmian</w:t>
      </w:r>
      <w:r w:rsidR="00F77529">
        <w:t xml:space="preserve">y </w:t>
      </w:r>
      <w:r w:rsidR="00AD3181">
        <w:t xml:space="preserve">metody </w:t>
      </w:r>
      <w:r w:rsidR="00F517E3">
        <w:t xml:space="preserve">pomimo, iż </w:t>
      </w:r>
      <w:r w:rsidR="00F66CAA">
        <w:t xml:space="preserve">dotyczy </w:t>
      </w:r>
      <w:r w:rsidR="00217A6A">
        <w:t xml:space="preserve">zmiany zasad kwalifikacji spółek do </w:t>
      </w:r>
      <w:r w:rsidR="00791A8C">
        <w:t>I</w:t>
      </w:r>
      <w:r w:rsidR="00C6682A">
        <w:t xml:space="preserve">ndeksów </w:t>
      </w:r>
      <w:r w:rsidR="00791A8C">
        <w:t>G</w:t>
      </w:r>
      <w:r w:rsidR="00C6682A">
        <w:t>iełdowych, nie spełnia formalnych kryteriów istotnej zmiany metody, ze względu na</w:t>
      </w:r>
      <w:r w:rsidR="004438F0">
        <w:t xml:space="preserve"> brak możliwości przeprowadzenia realnego testu kontrfaktycznego pozwalającego ocenić jej wpływ na dotychczasowe historyczne przebieg</w:t>
      </w:r>
      <w:r w:rsidR="00DA25BF">
        <w:t>i</w:t>
      </w:r>
      <w:r w:rsidR="004438F0">
        <w:t xml:space="preserve"> indeksów. </w:t>
      </w:r>
    </w:p>
    <w:p w14:paraId="6AB436F9" w14:textId="28D1EDC9" w:rsidR="00C95CE3" w:rsidRDefault="00BF4E94" w:rsidP="0083496F">
      <w:pPr>
        <w:jc w:val="both"/>
      </w:pPr>
      <w:r>
        <w:t xml:space="preserve">Ze względu na </w:t>
      </w:r>
      <w:r w:rsidR="00C95CE3">
        <w:t xml:space="preserve">odnotowaną przez Administratora </w:t>
      </w:r>
      <w:r>
        <w:t xml:space="preserve">istotność wpływu zmiany postanowień Regulaminu na </w:t>
      </w:r>
      <w:r w:rsidR="00AC1C4F">
        <w:t xml:space="preserve">zasady zmian </w:t>
      </w:r>
      <w:r w:rsidR="00C95CE3">
        <w:t xml:space="preserve">portfela </w:t>
      </w:r>
      <w:r w:rsidR="00791A8C">
        <w:t>I</w:t>
      </w:r>
      <w:r w:rsidR="00C95CE3">
        <w:t xml:space="preserve">ndeksów w przyszłości, </w:t>
      </w:r>
      <w:r w:rsidR="00DA25BF">
        <w:t>KN WRK</w:t>
      </w:r>
      <w:r w:rsidR="00C95CE3">
        <w:t xml:space="preserve"> zarekomendował przeprowadzenie konsultacji publicznych.</w:t>
      </w:r>
    </w:p>
    <w:p w14:paraId="37A45F1B" w14:textId="500D3EE8" w:rsidR="00524D84" w:rsidRDefault="006403BC" w:rsidP="0083496F">
      <w:pPr>
        <w:jc w:val="both"/>
      </w:pPr>
      <w:r w:rsidRPr="005F6794">
        <w:rPr>
          <w:b/>
          <w:bCs/>
        </w:rPr>
        <w:t>Konsultacje publiczne rozpoczynają się w dniu 24 kwietnia 202</w:t>
      </w:r>
      <w:r w:rsidR="008363F9">
        <w:rPr>
          <w:b/>
          <w:bCs/>
        </w:rPr>
        <w:t>6</w:t>
      </w:r>
      <w:r w:rsidRPr="005F6794">
        <w:rPr>
          <w:b/>
          <w:bCs/>
        </w:rPr>
        <w:t xml:space="preserve"> roku i trwają do </w:t>
      </w:r>
      <w:r w:rsidR="00320AB1" w:rsidRPr="005F6794">
        <w:rPr>
          <w:b/>
          <w:bCs/>
        </w:rPr>
        <w:t>4</w:t>
      </w:r>
      <w:r w:rsidR="009731AF">
        <w:rPr>
          <w:b/>
          <w:bCs/>
        </w:rPr>
        <w:t> </w:t>
      </w:r>
      <w:r w:rsidR="00320AB1" w:rsidRPr="005F6794">
        <w:rPr>
          <w:b/>
          <w:bCs/>
        </w:rPr>
        <w:t>maja 202</w:t>
      </w:r>
      <w:r w:rsidR="008363F9">
        <w:rPr>
          <w:b/>
          <w:bCs/>
        </w:rPr>
        <w:t>6</w:t>
      </w:r>
      <w:r w:rsidR="00320AB1" w:rsidRPr="005F6794">
        <w:rPr>
          <w:b/>
          <w:bCs/>
        </w:rPr>
        <w:t xml:space="preserve"> roku</w:t>
      </w:r>
      <w:r w:rsidR="005E16F7" w:rsidRPr="005F6794">
        <w:rPr>
          <w:b/>
          <w:bCs/>
        </w:rPr>
        <w:t>.</w:t>
      </w:r>
      <w:r w:rsidR="005E16F7">
        <w:t xml:space="preserve"> W przypadku przekazania </w:t>
      </w:r>
      <w:r w:rsidR="001D20B3">
        <w:t xml:space="preserve">odpowiedzi po wskazanym terminie, </w:t>
      </w:r>
      <w:r w:rsidR="005361B0">
        <w:t xml:space="preserve">odpowiedzi takie nie będą uwzględniane. </w:t>
      </w:r>
      <w:r w:rsidR="00247032">
        <w:t>W przypadku podjęcia decyzji o</w:t>
      </w:r>
      <w:r w:rsidR="009731AF">
        <w:t> </w:t>
      </w:r>
      <w:r w:rsidR="00247032">
        <w:t xml:space="preserve">przeprowadzeniu niniejszej zmiany metody w przedmiotowym zakresie, zmiany Regulaminu wejdą w życie w dniu wskazanym w informacji o zmianie Regulaminu, </w:t>
      </w:r>
      <w:r w:rsidR="006726E2">
        <w:t xml:space="preserve">lecz </w:t>
      </w:r>
      <w:r w:rsidR="00247032">
        <w:t xml:space="preserve">nie wcześniej niż po upływie 30 dni od udostępnienia zmienionego Regulaminu </w:t>
      </w:r>
      <w:r w:rsidR="00DA25BF">
        <w:t>n</w:t>
      </w:r>
      <w:r w:rsidR="006726E2">
        <w:t>a stronie internetowej Administratora</w:t>
      </w:r>
      <w:r w:rsidR="00CB6A68">
        <w:rPr>
          <w:rStyle w:val="Odwoanieprzypisudolnego"/>
        </w:rPr>
        <w:footnoteReference w:id="1"/>
      </w:r>
      <w:r w:rsidR="006726E2">
        <w:t xml:space="preserve">. </w:t>
      </w:r>
    </w:p>
    <w:p w14:paraId="22EA2FB6" w14:textId="488FCFF1" w:rsidR="004C0377" w:rsidRPr="005F6794" w:rsidRDefault="009731AF" w:rsidP="0083496F">
      <w:pPr>
        <w:jc w:val="both"/>
        <w:rPr>
          <w:b/>
          <w:bCs/>
        </w:rPr>
      </w:pPr>
      <w:r>
        <w:rPr>
          <w:b/>
          <w:bCs/>
        </w:rPr>
        <w:lastRenderedPageBreak/>
        <w:t>Kwestionariusz</w:t>
      </w:r>
      <w:r w:rsidR="004D0966" w:rsidRPr="005F6794">
        <w:rPr>
          <w:b/>
          <w:bCs/>
        </w:rPr>
        <w:t>:</w:t>
      </w:r>
    </w:p>
    <w:p w14:paraId="2185A415" w14:textId="57B63FB4" w:rsidR="004D0966" w:rsidRDefault="00B21A66" w:rsidP="0083496F">
      <w:pPr>
        <w:jc w:val="both"/>
      </w:pPr>
      <w:r>
        <w:t>W odpowiedzi na propozycję GPW Benchmark S.A. polegając</w:t>
      </w:r>
      <w:r w:rsidR="00DA25BF">
        <w:t>ą</w:t>
      </w:r>
      <w:r>
        <w:t xml:space="preserve"> na wprowadzeni</w:t>
      </w:r>
      <w:r w:rsidR="00DA25BF">
        <w:t>u</w:t>
      </w:r>
      <w:r>
        <w:t xml:space="preserve"> </w:t>
      </w:r>
      <w:r w:rsidR="00DA25BF">
        <w:t xml:space="preserve">do Regulaminu Rodziny Indeksów Giełdowych </w:t>
      </w:r>
      <w:r>
        <w:t xml:space="preserve">postanowienia dotyczącego nadzwyczajnej korekty listy Uczestników </w:t>
      </w:r>
      <w:r w:rsidR="00791A8C">
        <w:t xml:space="preserve">Indeksów Giełdowych </w:t>
      </w:r>
      <w:r w:rsidR="00545A58">
        <w:t>zgodnie z poniższą treścią:</w:t>
      </w:r>
    </w:p>
    <w:p w14:paraId="42FE0C31" w14:textId="78CA341E" w:rsidR="00AC4FA1" w:rsidRPr="005F6794" w:rsidRDefault="00374CB6" w:rsidP="0083496F">
      <w:pPr>
        <w:jc w:val="both"/>
        <w:rPr>
          <w:i/>
          <w:iCs/>
        </w:rPr>
      </w:pPr>
      <w:r w:rsidRPr="005F6794">
        <w:rPr>
          <w:i/>
          <w:iCs/>
        </w:rPr>
        <w:t>Propozycja brzmienia:</w:t>
      </w:r>
    </w:p>
    <w:p w14:paraId="0DE394F1" w14:textId="43A826D5" w:rsidR="00AC4FA1" w:rsidRDefault="00545A58" w:rsidP="0083496F">
      <w:pPr>
        <w:jc w:val="both"/>
      </w:pPr>
      <w:r>
        <w:t>„</w:t>
      </w:r>
      <w:r w:rsidR="00EA245B" w:rsidRPr="00EA245B">
        <w:t>Nadzwyczajna korekta listy Uczestników Indeksu może zostać przeprowadzona w</w:t>
      </w:r>
      <w:r w:rsidR="00147B42">
        <w:t> </w:t>
      </w:r>
      <w:r w:rsidR="00EA245B" w:rsidRPr="00EA245B">
        <w:t xml:space="preserve">odniesieniu do Spółki wprowadzonej do Obrotu Giełdowego </w:t>
      </w:r>
      <w:r w:rsidR="00791A8C">
        <w:t xml:space="preserve">wyłącznie </w:t>
      </w:r>
      <w:r w:rsidR="00EA245B" w:rsidRPr="00EA245B">
        <w:t xml:space="preserve">poprzez Prawa do Akcji, po upływie 7 </w:t>
      </w:r>
      <w:r w:rsidR="00293480">
        <w:t>Sesji</w:t>
      </w:r>
      <w:r w:rsidR="00873502">
        <w:t xml:space="preserve"> </w:t>
      </w:r>
      <w:r w:rsidR="00EA245B" w:rsidRPr="00EA245B">
        <w:t xml:space="preserve">od dnia </w:t>
      </w:r>
      <w:r w:rsidR="00791A8C">
        <w:t xml:space="preserve">wprowadzenia do obrotu </w:t>
      </w:r>
      <w:r w:rsidR="00D70B1B">
        <w:t>a</w:t>
      </w:r>
      <w:r w:rsidR="00791A8C">
        <w:t xml:space="preserve">kcji wynikających z tych </w:t>
      </w:r>
      <w:r w:rsidR="00EA245B" w:rsidRPr="00EA245B">
        <w:t>Praw do</w:t>
      </w:r>
      <w:r w:rsidR="00164F8D">
        <w:t xml:space="preserve"> </w:t>
      </w:r>
      <w:r w:rsidR="00147B42">
        <w:t>A</w:t>
      </w:r>
      <w:r w:rsidR="00EA245B" w:rsidRPr="00EA245B">
        <w:t xml:space="preserve">kcji, </w:t>
      </w:r>
      <w:r w:rsidR="00164F8D">
        <w:t>k</w:t>
      </w:r>
      <w:r w:rsidR="002B3394">
        <w:t xml:space="preserve">walifikacja Spółki do poszczególnych Indeksów Giełdowych jest przeprowadzana zgodnie z zasadami korekty nadzwyczajnej danego Indeksu, przy czym </w:t>
      </w:r>
      <w:r w:rsidR="00244D34">
        <w:t xml:space="preserve">wszędzie tam gdzie kryterium kwalifikacji stanowi </w:t>
      </w:r>
      <w:r w:rsidR="00020F29">
        <w:t>K</w:t>
      </w:r>
      <w:r w:rsidR="00244D34">
        <w:t>urs</w:t>
      </w:r>
      <w:r w:rsidR="00020F29">
        <w:t xml:space="preserve"> Zamknięcia</w:t>
      </w:r>
      <w:r w:rsidR="00244D34">
        <w:t xml:space="preserve"> akcji rozumie się przez to </w:t>
      </w:r>
      <w:r w:rsidR="00851D2E">
        <w:t xml:space="preserve">średnią </w:t>
      </w:r>
      <w:r w:rsidR="00020F29">
        <w:t>określoną wzorem:</w:t>
      </w:r>
    </w:p>
    <w:p w14:paraId="2A49EF71" w14:textId="77777777" w:rsidR="001A4891" w:rsidRDefault="001A4891" w:rsidP="0083496F">
      <w:pPr>
        <w:jc w:val="both"/>
      </w:pPr>
    </w:p>
    <w:p w14:paraId="485AA58A" w14:textId="24E691CC" w:rsidR="00147B42" w:rsidRDefault="0000139F" w:rsidP="0083496F">
      <w:pPr>
        <w:jc w:val="both"/>
        <w:rPr>
          <w:rFonts w:eastAsiaTheme="minorEastAsia"/>
        </w:rPr>
      </w:pPr>
      <m:oMath>
        <m:r>
          <w:rPr>
            <w:rFonts w:ascii="Cambria Math" w:hAnsi="Cambria Math"/>
          </w:rPr>
          <m:t>Kurs Zamknięcia=0,5*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 xml:space="preserve">+0,5*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pda</m:t>
            </m:r>
          </m:sub>
        </m:sSub>
      </m:oMath>
      <w:r w:rsidR="00526B04">
        <w:rPr>
          <w:rFonts w:eastAsiaTheme="minorEastAsia"/>
        </w:rPr>
        <w:t xml:space="preserve">                </w:t>
      </w:r>
    </w:p>
    <w:p w14:paraId="40794EBC" w14:textId="3C73FF79" w:rsidR="00526B04" w:rsidRDefault="00526B04" w:rsidP="0083496F">
      <w:pPr>
        <w:jc w:val="both"/>
        <w:rPr>
          <w:rFonts w:eastAsiaTheme="minorEastAsia"/>
        </w:rPr>
      </w:pPr>
      <w:r>
        <w:rPr>
          <w:rFonts w:eastAsiaTheme="minorEastAsia"/>
        </w:rPr>
        <w:t>gdzie</w:t>
      </w:r>
      <w:r w:rsidR="00684F40">
        <w:rPr>
          <w:rFonts w:eastAsiaTheme="minorEastAsia"/>
        </w:rPr>
        <w:t>:</w:t>
      </w:r>
    </w:p>
    <w:p w14:paraId="72411012" w14:textId="3F40C60E" w:rsidR="00526B04" w:rsidRPr="00473DF2" w:rsidRDefault="00526B04" w:rsidP="0083496F">
      <w:pPr>
        <w:jc w:val="both"/>
      </w:pPr>
      <w:r>
        <w:rPr>
          <w:rFonts w:eastAsiaTheme="minorEastAsia"/>
        </w:rPr>
        <w:t>K</w:t>
      </w:r>
      <w:r>
        <w:rPr>
          <w:rFonts w:eastAsiaTheme="minorEastAsia"/>
          <w:vertAlign w:val="subscript"/>
        </w:rPr>
        <w:t>a</w:t>
      </w:r>
      <w:r w:rsidR="00473DF2">
        <w:rPr>
          <w:rFonts w:eastAsiaTheme="minorEastAsia"/>
        </w:rPr>
        <w:t xml:space="preserve"> </w:t>
      </w:r>
      <w:r w:rsidR="00234B50">
        <w:rPr>
          <w:rFonts w:eastAsiaTheme="minorEastAsia"/>
        </w:rPr>
        <w:t>–</w:t>
      </w:r>
      <w:r w:rsidR="00473DF2">
        <w:rPr>
          <w:rFonts w:eastAsiaTheme="minorEastAsia"/>
        </w:rPr>
        <w:t xml:space="preserve"> </w:t>
      </w:r>
      <w:r w:rsidR="00234B50">
        <w:rPr>
          <w:rFonts w:eastAsiaTheme="minorEastAsia"/>
        </w:rPr>
        <w:t>Kurs Zamknięcia w dniu pierwszego notowania akcji</w:t>
      </w:r>
      <w:r w:rsidR="00F9692B">
        <w:rPr>
          <w:rFonts w:eastAsiaTheme="minorEastAsia"/>
        </w:rPr>
        <w:t xml:space="preserve"> Spółki</w:t>
      </w:r>
    </w:p>
    <w:p w14:paraId="75724E66" w14:textId="6A2FE7D7" w:rsidR="00473DF2" w:rsidRPr="002500A0" w:rsidRDefault="00473DF2" w:rsidP="00473DF2">
      <w:pPr>
        <w:jc w:val="both"/>
      </w:pPr>
      <w:proofErr w:type="spellStart"/>
      <w:r>
        <w:rPr>
          <w:rFonts w:eastAsiaTheme="minorEastAsia"/>
        </w:rPr>
        <w:t>K</w:t>
      </w:r>
      <w:r>
        <w:rPr>
          <w:rFonts w:eastAsiaTheme="minorEastAsia"/>
          <w:vertAlign w:val="subscript"/>
        </w:rPr>
        <w:t>p</w:t>
      </w:r>
      <w:r w:rsidR="004D060B">
        <w:rPr>
          <w:rFonts w:eastAsiaTheme="minorEastAsia"/>
          <w:vertAlign w:val="subscript"/>
        </w:rPr>
        <w:t>da</w:t>
      </w:r>
      <w:proofErr w:type="spellEnd"/>
      <w:r w:rsidR="00F9692B">
        <w:rPr>
          <w:rFonts w:eastAsiaTheme="minorEastAsia"/>
        </w:rPr>
        <w:t xml:space="preserve"> – średni </w:t>
      </w:r>
      <w:r w:rsidR="00374CB6">
        <w:rPr>
          <w:rFonts w:eastAsiaTheme="minorEastAsia"/>
        </w:rPr>
        <w:t>k</w:t>
      </w:r>
      <w:r w:rsidR="00F9692B">
        <w:rPr>
          <w:rFonts w:eastAsiaTheme="minorEastAsia"/>
        </w:rPr>
        <w:t xml:space="preserve">urs </w:t>
      </w:r>
      <w:r w:rsidR="00374CB6">
        <w:rPr>
          <w:rFonts w:eastAsiaTheme="minorEastAsia"/>
        </w:rPr>
        <w:t>z</w:t>
      </w:r>
      <w:r w:rsidR="00F9692B">
        <w:rPr>
          <w:rFonts w:eastAsiaTheme="minorEastAsia"/>
        </w:rPr>
        <w:t xml:space="preserve">amknięcia </w:t>
      </w:r>
      <w:r w:rsidR="00206545">
        <w:rPr>
          <w:rFonts w:eastAsiaTheme="minorEastAsia"/>
        </w:rPr>
        <w:t xml:space="preserve">w okresie notowania PDA </w:t>
      </w:r>
    </w:p>
    <w:p w14:paraId="762F43A1" w14:textId="77777777" w:rsidR="00A933AC" w:rsidRDefault="00A933AC" w:rsidP="00A933AC">
      <w:pPr>
        <w:jc w:val="both"/>
      </w:pPr>
    </w:p>
    <w:p w14:paraId="27864C95" w14:textId="77777777" w:rsidR="00A933AC" w:rsidRDefault="00A933AC" w:rsidP="00A933AC">
      <w:pPr>
        <w:jc w:val="both"/>
      </w:pPr>
    </w:p>
    <w:p w14:paraId="6634C240" w14:textId="77777777" w:rsidR="00A933AC" w:rsidRDefault="00A933AC" w:rsidP="00A933AC">
      <w:pPr>
        <w:jc w:val="both"/>
      </w:pPr>
      <w:r>
        <w:t> </w:t>
      </w:r>
    </w:p>
    <w:p w14:paraId="504C2F8F" w14:textId="77777777" w:rsidR="00020F29" w:rsidRDefault="00020F29" w:rsidP="0083496F">
      <w:pPr>
        <w:jc w:val="both"/>
      </w:pPr>
    </w:p>
    <w:p w14:paraId="127BCA51" w14:textId="77777777" w:rsidR="00545A58" w:rsidRDefault="00545A58" w:rsidP="0083496F">
      <w:pPr>
        <w:jc w:val="both"/>
      </w:pPr>
    </w:p>
    <w:permStart w:id="1708209878" w:edGrp="everyone"/>
    <w:p w14:paraId="4094A45B" w14:textId="5B3E338A" w:rsidR="00545A58" w:rsidRDefault="001F082B" w:rsidP="0083496F">
      <w:pPr>
        <w:jc w:val="both"/>
      </w:pPr>
      <w:sdt>
        <w:sdtPr>
          <w:rPr>
            <w:rFonts w:ascii="Verdana" w:eastAsia="Calibri" w:hAnsi="Verdana" w:cs="Times New Roman"/>
            <w:b/>
            <w:bCs/>
            <w:kern w:val="0"/>
            <w:sz w:val="18"/>
            <w:szCs w:val="18"/>
            <w14:ligatures w14:val="none"/>
          </w:rPr>
          <w:id w:val="-8004654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25BF" w:rsidRPr="00DA25BF">
            <w:rPr>
              <w:rFonts w:ascii="Verdana" w:eastAsia="Calibri" w:hAnsi="Verdana" w:cs="Times New Roman" w:hint="eastAsia"/>
              <w:b/>
              <w:bCs/>
              <w:kern w:val="0"/>
              <w:sz w:val="18"/>
              <w:szCs w:val="18"/>
              <w14:ligatures w14:val="none"/>
            </w:rPr>
            <w:t>☐</w:t>
          </w:r>
        </w:sdtContent>
      </w:sdt>
      <w:r w:rsidR="00DA25BF" w:rsidRPr="00DA25BF">
        <w:rPr>
          <w:rFonts w:ascii="Verdana" w:eastAsia="Calibri" w:hAnsi="Verdana" w:cs="Times New Roman"/>
          <w:b/>
          <w:bCs/>
          <w:kern w:val="0"/>
          <w:sz w:val="18"/>
          <w:szCs w:val="18"/>
          <w14:ligatures w14:val="none"/>
        </w:rPr>
        <w:t xml:space="preserve"> </w:t>
      </w:r>
      <w:permEnd w:id="1708209878"/>
      <w:r w:rsidR="00FE192F">
        <w:t xml:space="preserve">a. popieram jej wprowadzenie </w:t>
      </w:r>
    </w:p>
    <w:p w14:paraId="72B8A8F3" w14:textId="4ADE9CCE" w:rsidR="00FE192F" w:rsidRDefault="001F082B" w:rsidP="0083496F">
      <w:pPr>
        <w:jc w:val="both"/>
      </w:pPr>
      <w:sdt>
        <w:sdtPr>
          <w:rPr>
            <w:rFonts w:ascii="Verdana" w:eastAsia="Calibri" w:hAnsi="Verdana" w:cs="Times New Roman"/>
            <w:b/>
            <w:bCs/>
            <w:kern w:val="0"/>
            <w:sz w:val="18"/>
            <w:szCs w:val="18"/>
            <w14:ligatures w14:val="none"/>
          </w:rPr>
          <w:id w:val="-5218566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2143907149" w:edGrp="everyone"/>
          <w:r w:rsidR="00DA25BF" w:rsidRPr="00DA25BF">
            <w:rPr>
              <w:rFonts w:ascii="Verdana" w:eastAsia="Calibri" w:hAnsi="Verdana" w:cs="Times New Roman" w:hint="eastAsia"/>
              <w:b/>
              <w:bCs/>
              <w:kern w:val="0"/>
              <w:sz w:val="18"/>
              <w:szCs w:val="18"/>
              <w14:ligatures w14:val="none"/>
            </w:rPr>
            <w:t>☐</w:t>
          </w:r>
          <w:permEnd w:id="2143907149"/>
        </w:sdtContent>
      </w:sdt>
      <w:r w:rsidR="00DA25BF" w:rsidRPr="00DA25BF">
        <w:rPr>
          <w:rFonts w:ascii="Verdana" w:eastAsia="Calibri" w:hAnsi="Verdana" w:cs="Times New Roman"/>
          <w:b/>
          <w:bCs/>
          <w:kern w:val="0"/>
          <w:sz w:val="18"/>
          <w:szCs w:val="18"/>
          <w14:ligatures w14:val="none"/>
        </w:rPr>
        <w:t xml:space="preserve"> </w:t>
      </w:r>
      <w:r w:rsidR="00FE192F">
        <w:t>b. nie popieram jej wprowadzenia</w:t>
      </w:r>
    </w:p>
    <w:p w14:paraId="585246FD" w14:textId="77777777" w:rsidR="00C95CE3" w:rsidRDefault="00C95CE3" w:rsidP="0083496F">
      <w:pPr>
        <w:jc w:val="both"/>
      </w:pPr>
    </w:p>
    <w:p w14:paraId="5790F060" w14:textId="1783341F" w:rsidR="00C95CE3" w:rsidRPr="005F6794" w:rsidRDefault="00C95CE3" w:rsidP="0083496F">
      <w:pPr>
        <w:jc w:val="both"/>
        <w:rPr>
          <w:b/>
          <w:bCs/>
        </w:rPr>
      </w:pPr>
      <w:r w:rsidRPr="005F6794">
        <w:rPr>
          <w:b/>
          <w:bCs/>
        </w:rPr>
        <w:t>Komentarz:</w:t>
      </w:r>
    </w:p>
    <w:p w14:paraId="7E85277D" w14:textId="77777777" w:rsidR="00DA25BF" w:rsidRPr="00DA25BF" w:rsidRDefault="00DA25BF" w:rsidP="00DA25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59" w:lineRule="auto"/>
        <w:rPr>
          <w:rFonts w:ascii="Verdana" w:eastAsia="Calibri" w:hAnsi="Verdana" w:cs="Times New Roman"/>
          <w:b/>
          <w:bCs/>
          <w:kern w:val="0"/>
          <w:sz w:val="18"/>
          <w:szCs w:val="18"/>
          <w14:ligatures w14:val="none"/>
        </w:rPr>
      </w:pPr>
      <w:permStart w:id="176779081" w:edGrp="everyone"/>
    </w:p>
    <w:p w14:paraId="5548E749" w14:textId="77777777" w:rsidR="00DA25BF" w:rsidRPr="00DA25BF" w:rsidRDefault="00DA25BF" w:rsidP="00DA25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59" w:lineRule="auto"/>
        <w:rPr>
          <w:rFonts w:ascii="Verdana" w:eastAsia="Calibri" w:hAnsi="Verdana" w:cs="Times New Roman"/>
          <w:b/>
          <w:bCs/>
          <w:kern w:val="0"/>
          <w:sz w:val="18"/>
          <w:szCs w:val="18"/>
          <w14:ligatures w14:val="none"/>
        </w:rPr>
      </w:pPr>
    </w:p>
    <w:permEnd w:id="176779081"/>
    <w:p w14:paraId="24ECCE8F" w14:textId="77777777" w:rsidR="00342C01" w:rsidRDefault="00342C01" w:rsidP="0083496F">
      <w:pPr>
        <w:jc w:val="both"/>
      </w:pPr>
    </w:p>
    <w:sectPr w:rsidR="00342C01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061DBF" w14:textId="77777777" w:rsidR="008200C2" w:rsidRDefault="008200C2" w:rsidP="000A7E07">
      <w:pPr>
        <w:spacing w:after="0" w:line="240" w:lineRule="auto"/>
      </w:pPr>
      <w:r>
        <w:separator/>
      </w:r>
    </w:p>
  </w:endnote>
  <w:endnote w:type="continuationSeparator" w:id="0">
    <w:p w14:paraId="451E7F12" w14:textId="77777777" w:rsidR="008200C2" w:rsidRDefault="008200C2" w:rsidP="000A7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E6E87F" w14:textId="77777777" w:rsidR="008200C2" w:rsidRDefault="008200C2" w:rsidP="000A7E07">
      <w:pPr>
        <w:spacing w:after="0" w:line="240" w:lineRule="auto"/>
      </w:pPr>
      <w:r>
        <w:separator/>
      </w:r>
    </w:p>
  </w:footnote>
  <w:footnote w:type="continuationSeparator" w:id="0">
    <w:p w14:paraId="70795C39" w14:textId="77777777" w:rsidR="008200C2" w:rsidRDefault="008200C2" w:rsidP="000A7E07">
      <w:pPr>
        <w:spacing w:after="0" w:line="240" w:lineRule="auto"/>
      </w:pPr>
      <w:r>
        <w:continuationSeparator/>
      </w:r>
    </w:p>
  </w:footnote>
  <w:footnote w:id="1">
    <w:p w14:paraId="7DB69DEC" w14:textId="08DC99A2" w:rsidR="00CB6A68" w:rsidRPr="005F6794" w:rsidRDefault="00CB6A68" w:rsidP="005F6794">
      <w:pPr>
        <w:pStyle w:val="Tekstprzypisudolnego"/>
        <w:jc w:val="both"/>
        <w:rPr>
          <w:sz w:val="18"/>
          <w:szCs w:val="18"/>
        </w:rPr>
      </w:pPr>
      <w:r w:rsidRPr="005F6794">
        <w:rPr>
          <w:rStyle w:val="Odwoanieprzypisudolnego"/>
          <w:sz w:val="18"/>
          <w:szCs w:val="18"/>
        </w:rPr>
        <w:footnoteRef/>
      </w:r>
      <w:r w:rsidRPr="005F6794">
        <w:rPr>
          <w:sz w:val="18"/>
          <w:szCs w:val="18"/>
        </w:rPr>
        <w:t xml:space="preserve"> W celu uniknięcia wątpliwości wejście w życie zmian w  Regulaminie w przypadku Spółek wprowadzonych do obrotu na podstawie PDA przed wejściem w życie tej zmiany,</w:t>
      </w:r>
      <w:r w:rsidR="0011181B" w:rsidRPr="005F6794">
        <w:rPr>
          <w:sz w:val="18"/>
          <w:szCs w:val="18"/>
        </w:rPr>
        <w:t xml:space="preserve"> wprowadzone postanowienie będzie</w:t>
      </w:r>
      <w:r w:rsidRPr="005F6794">
        <w:rPr>
          <w:sz w:val="18"/>
          <w:szCs w:val="18"/>
        </w:rPr>
        <w:t xml:space="preserve"> miał</w:t>
      </w:r>
      <w:r w:rsidR="0011181B" w:rsidRPr="005F6794">
        <w:rPr>
          <w:sz w:val="18"/>
          <w:szCs w:val="18"/>
        </w:rPr>
        <w:t xml:space="preserve">o </w:t>
      </w:r>
      <w:r w:rsidRPr="005F6794">
        <w:rPr>
          <w:sz w:val="18"/>
          <w:szCs w:val="18"/>
        </w:rPr>
        <w:t>zastosowanie</w:t>
      </w:r>
      <w:r w:rsidR="0011181B" w:rsidRPr="005F6794">
        <w:rPr>
          <w:sz w:val="18"/>
          <w:szCs w:val="18"/>
        </w:rPr>
        <w:t xml:space="preserve"> jedynie w sytuacji</w:t>
      </w:r>
      <w:r w:rsidR="000D03D4" w:rsidRPr="005F6794">
        <w:rPr>
          <w:sz w:val="18"/>
          <w:szCs w:val="18"/>
        </w:rPr>
        <w:t>, w której konwersja w akcje następuje po wejściu w życie tej zmiany Regulaminu</w:t>
      </w:r>
      <w:r w:rsidRPr="005F6794">
        <w:rPr>
          <w:sz w:val="18"/>
          <w:szCs w:val="18"/>
        </w:rPr>
        <w:t>.</w:t>
      </w:r>
      <w:r w:rsidR="0011181B" w:rsidRPr="005F6794">
        <w:rPr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EEF06" w14:textId="3A89521B" w:rsidR="00524D84" w:rsidRDefault="00524D84">
    <w:pPr>
      <w:pStyle w:val="Nagwek"/>
    </w:pPr>
    <w:r w:rsidRPr="00524D84">
      <w:rPr>
        <w:rFonts w:ascii="Calibri" w:eastAsia="Calibri" w:hAnsi="Calibri" w:cs="Times New Roman"/>
        <w:noProof/>
        <w:kern w:val="0"/>
        <w:sz w:val="22"/>
        <w:szCs w:val="22"/>
        <w14:ligatures w14:val="none"/>
      </w:rPr>
      <w:drawing>
        <wp:anchor distT="0" distB="0" distL="114300" distR="114300" simplePos="0" relativeHeight="251659264" behindDoc="0" locked="0" layoutInCell="1" allowOverlap="1" wp14:anchorId="411FB485" wp14:editId="62BE2563">
          <wp:simplePos x="0" y="0"/>
          <wp:positionH relativeFrom="page">
            <wp:posOffset>436245</wp:posOffset>
          </wp:positionH>
          <wp:positionV relativeFrom="page">
            <wp:posOffset>264795</wp:posOffset>
          </wp:positionV>
          <wp:extent cx="1860550" cy="478155"/>
          <wp:effectExtent l="0" t="0" r="0" b="4445"/>
          <wp:wrapNone/>
          <wp:docPr id="1353136713" name="Obraz 13531367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55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readOnly" w:enforcement="1" w:cryptProviderType="rsaAES" w:cryptAlgorithmClass="hash" w:cryptAlgorithmType="typeAny" w:cryptAlgorithmSid="14" w:cryptSpinCount="100000" w:hash="cprDIIIDpZu1hQXHcrg1+srS1Ustz1vtOYmuQbzOL1+QIRWcR9CqalFFMvO2wteJwdoESzdVG8oEw4EJCVOe2A==" w:salt="YWdE4Q553+pFTYeh6eFl0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E07"/>
    <w:rsid w:val="0000139F"/>
    <w:rsid w:val="00020F29"/>
    <w:rsid w:val="000A7E07"/>
    <w:rsid w:val="000D03D4"/>
    <w:rsid w:val="000E0033"/>
    <w:rsid w:val="0011181B"/>
    <w:rsid w:val="00135900"/>
    <w:rsid w:val="00141274"/>
    <w:rsid w:val="00147B42"/>
    <w:rsid w:val="00155CBD"/>
    <w:rsid w:val="0016422F"/>
    <w:rsid w:val="00164F8D"/>
    <w:rsid w:val="001A1E02"/>
    <w:rsid w:val="001A4891"/>
    <w:rsid w:val="001D20B3"/>
    <w:rsid w:val="001F082B"/>
    <w:rsid w:val="00206545"/>
    <w:rsid w:val="00217A6A"/>
    <w:rsid w:val="00234B50"/>
    <w:rsid w:val="00244D34"/>
    <w:rsid w:val="00247032"/>
    <w:rsid w:val="002500A0"/>
    <w:rsid w:val="00285F42"/>
    <w:rsid w:val="00293480"/>
    <w:rsid w:val="002A212A"/>
    <w:rsid w:val="002B3394"/>
    <w:rsid w:val="003060E7"/>
    <w:rsid w:val="00320AB1"/>
    <w:rsid w:val="00342C01"/>
    <w:rsid w:val="003602D1"/>
    <w:rsid w:val="00374CB6"/>
    <w:rsid w:val="003915D7"/>
    <w:rsid w:val="00397487"/>
    <w:rsid w:val="003E405E"/>
    <w:rsid w:val="004211ED"/>
    <w:rsid w:val="004438F0"/>
    <w:rsid w:val="00464EEA"/>
    <w:rsid w:val="00473DF2"/>
    <w:rsid w:val="00487905"/>
    <w:rsid w:val="004C0377"/>
    <w:rsid w:val="004C1555"/>
    <w:rsid w:val="004D060B"/>
    <w:rsid w:val="004D0966"/>
    <w:rsid w:val="00524D84"/>
    <w:rsid w:val="00526B04"/>
    <w:rsid w:val="005361B0"/>
    <w:rsid w:val="00545A58"/>
    <w:rsid w:val="00545CCB"/>
    <w:rsid w:val="005513E3"/>
    <w:rsid w:val="00577D5E"/>
    <w:rsid w:val="005A61AE"/>
    <w:rsid w:val="005B11F0"/>
    <w:rsid w:val="005C3439"/>
    <w:rsid w:val="005E16F7"/>
    <w:rsid w:val="005F6794"/>
    <w:rsid w:val="006403BC"/>
    <w:rsid w:val="006726E2"/>
    <w:rsid w:val="00684F40"/>
    <w:rsid w:val="00691619"/>
    <w:rsid w:val="00696634"/>
    <w:rsid w:val="00706890"/>
    <w:rsid w:val="007070AD"/>
    <w:rsid w:val="00764AD0"/>
    <w:rsid w:val="007823AF"/>
    <w:rsid w:val="00791A8C"/>
    <w:rsid w:val="007B2227"/>
    <w:rsid w:val="007D1D6A"/>
    <w:rsid w:val="008200C2"/>
    <w:rsid w:val="0083496F"/>
    <w:rsid w:val="008363F9"/>
    <w:rsid w:val="00851D2E"/>
    <w:rsid w:val="00870E1D"/>
    <w:rsid w:val="00873502"/>
    <w:rsid w:val="00891445"/>
    <w:rsid w:val="00897CE9"/>
    <w:rsid w:val="008A5FEA"/>
    <w:rsid w:val="008E78C0"/>
    <w:rsid w:val="008F2701"/>
    <w:rsid w:val="00904A93"/>
    <w:rsid w:val="00943CD0"/>
    <w:rsid w:val="009535EA"/>
    <w:rsid w:val="00963D5E"/>
    <w:rsid w:val="009731AF"/>
    <w:rsid w:val="009C1A0C"/>
    <w:rsid w:val="009C1A9D"/>
    <w:rsid w:val="00A56512"/>
    <w:rsid w:val="00A8689A"/>
    <w:rsid w:val="00A933AC"/>
    <w:rsid w:val="00AC1C4F"/>
    <w:rsid w:val="00AC4FA1"/>
    <w:rsid w:val="00AD3181"/>
    <w:rsid w:val="00B21A66"/>
    <w:rsid w:val="00B338C5"/>
    <w:rsid w:val="00BC3819"/>
    <w:rsid w:val="00BC5E6B"/>
    <w:rsid w:val="00BE31CE"/>
    <w:rsid w:val="00BF4E94"/>
    <w:rsid w:val="00C27A0A"/>
    <w:rsid w:val="00C536BC"/>
    <w:rsid w:val="00C6682A"/>
    <w:rsid w:val="00C95CE3"/>
    <w:rsid w:val="00C974F6"/>
    <w:rsid w:val="00CB6A68"/>
    <w:rsid w:val="00CC7D13"/>
    <w:rsid w:val="00CD3F8A"/>
    <w:rsid w:val="00CE4EA1"/>
    <w:rsid w:val="00D30333"/>
    <w:rsid w:val="00D70B1B"/>
    <w:rsid w:val="00D74008"/>
    <w:rsid w:val="00D904A7"/>
    <w:rsid w:val="00DA25BF"/>
    <w:rsid w:val="00DD324B"/>
    <w:rsid w:val="00E2375A"/>
    <w:rsid w:val="00E604AC"/>
    <w:rsid w:val="00EA245B"/>
    <w:rsid w:val="00EE4565"/>
    <w:rsid w:val="00EE4CF9"/>
    <w:rsid w:val="00EF07B6"/>
    <w:rsid w:val="00EF7BA6"/>
    <w:rsid w:val="00F3563D"/>
    <w:rsid w:val="00F43DF7"/>
    <w:rsid w:val="00F517E3"/>
    <w:rsid w:val="00F66CAA"/>
    <w:rsid w:val="00F77529"/>
    <w:rsid w:val="00F9692B"/>
    <w:rsid w:val="00FA1873"/>
    <w:rsid w:val="00FC1126"/>
    <w:rsid w:val="00FC1544"/>
    <w:rsid w:val="00FE1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962EA"/>
  <w15:chartTrackingRefBased/>
  <w15:docId w15:val="{C768C195-6DB3-4C72-80B5-A28F9211D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A7E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7E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7E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7E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7E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7E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7E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7E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7E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7E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7E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7E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7E07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7E07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7E0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7E0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7E0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7E0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7E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7E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7E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7E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7E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7E0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A7E0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7E07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7E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7E07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7E07"/>
    <w:rPr>
      <w:b/>
      <w:bCs/>
      <w:smallCaps/>
      <w:color w:val="0F4761" w:themeColor="accent1" w:themeShade="BF"/>
      <w:spacing w:val="5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A7E0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A7E0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A7E07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B6A6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B6A6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B6A68"/>
    <w:rPr>
      <w:vertAlign w:val="superscript"/>
    </w:rPr>
  </w:style>
  <w:style w:type="paragraph" w:styleId="Poprawka">
    <w:name w:val="Revision"/>
    <w:hidden/>
    <w:uiPriority w:val="99"/>
    <w:semiHidden/>
    <w:rsid w:val="0069161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91A8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91A8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91A8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1A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1A8C"/>
    <w:rPr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00139F"/>
    <w:rPr>
      <w:color w:val="666666"/>
    </w:rPr>
  </w:style>
  <w:style w:type="paragraph" w:styleId="Nagwek">
    <w:name w:val="header"/>
    <w:basedOn w:val="Normalny"/>
    <w:link w:val="NagwekZnak"/>
    <w:uiPriority w:val="99"/>
    <w:unhideWhenUsed/>
    <w:rsid w:val="00524D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4D84"/>
  </w:style>
  <w:style w:type="paragraph" w:styleId="Stopka">
    <w:name w:val="footer"/>
    <w:basedOn w:val="Normalny"/>
    <w:link w:val="StopkaZnak"/>
    <w:uiPriority w:val="99"/>
    <w:unhideWhenUsed/>
    <w:rsid w:val="00524D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4D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184d890-c1f9-41c4-8596-d00b9e6d427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493E0076190734DB8A62F55E1652336" ma:contentTypeVersion="10" ma:contentTypeDescription="Utwórz nowy dokument." ma:contentTypeScope="" ma:versionID="d0112ea05d0e5ee4dedf4c9bc2f15cbd">
  <xsd:schema xmlns:xsd="http://www.w3.org/2001/XMLSchema" xmlns:xs="http://www.w3.org/2001/XMLSchema" xmlns:p="http://schemas.microsoft.com/office/2006/metadata/properties" xmlns:ns3="9184d890-c1f9-41c4-8596-d00b9e6d4275" targetNamespace="http://schemas.microsoft.com/office/2006/metadata/properties" ma:root="true" ma:fieldsID="9a6323b4053a175abc52ea95871943f2" ns3:_="">
    <xsd:import namespace="9184d890-c1f9-41c4-8596-d00b9e6d4275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_activity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84d890-c1f9-41c4-8596-d00b9e6d4275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0D28CD-AB1F-45C0-95D6-45C8A9C75A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8FC102-7D90-4EF0-9176-713A84317389}">
  <ds:schemaRefs>
    <ds:schemaRef ds:uri="http://schemas.microsoft.com/office/2006/metadata/properties"/>
    <ds:schemaRef ds:uri="9184d890-c1f9-41c4-8596-d00b9e6d4275"/>
    <ds:schemaRef ds:uri="http://purl.org/dc/dcmitype/"/>
    <ds:schemaRef ds:uri="http://schemas.microsoft.com/office/2006/documentManagement/types"/>
    <ds:schemaRef ds:uri="http://purl.org/dc/terms/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8DB3E58F-0E14-443D-A863-B5CDF2BCF7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84d890-c1f9-41c4-8596-d00b9e6d42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DB81EB-5927-438C-9CA5-B576A2FA055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a340375a-1ea0-4cdd-8a49-9cd1039ff159}" enabled="0" method="" siteId="{a340375a-1ea0-4cdd-8a49-9cd1039ff15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913</Words>
  <Characters>5483</Characters>
  <Application>Microsoft Office Word</Application>
  <DocSecurity>8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Bluj Aleksandra</dc:creator>
  <cp:keywords/>
  <dc:description/>
  <cp:lastModifiedBy>GPW Benchmark</cp:lastModifiedBy>
  <cp:revision>4</cp:revision>
  <dcterms:created xsi:type="dcterms:W3CDTF">2026-04-24T11:59:00Z</dcterms:created>
  <dcterms:modified xsi:type="dcterms:W3CDTF">2026-04-24T12:14:00Z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0x0101003493E0076190734DB8A62F55E1652336</vt:lpwstr>
  </property>
</Properties>
</file>