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BC24" w14:textId="6979B76A" w:rsidR="00CC360C" w:rsidRPr="005A5354" w:rsidRDefault="00CC360C" w:rsidP="00CC360C">
      <w:pPr>
        <w:pStyle w:val="Nagwek1"/>
        <w:numPr>
          <w:ilvl w:val="0"/>
          <w:numId w:val="0"/>
        </w:numPr>
        <w:rPr>
          <w:rFonts w:eastAsiaTheme="minorHAnsi"/>
          <w:lang w:val="en-GB"/>
        </w:rPr>
      </w:pPr>
      <w:r>
        <w:rPr>
          <w:rFonts w:eastAsiaTheme="minorHAnsi"/>
          <w:lang w:val="en"/>
        </w:rPr>
        <w:t>Annex No. 1</w:t>
      </w:r>
    </w:p>
    <w:p w14:paraId="29E2D343" w14:textId="17C19B2F" w:rsidR="00192FAE" w:rsidRPr="005A5354" w:rsidRDefault="00192FAE" w:rsidP="00CC360C">
      <w:pPr>
        <w:pStyle w:val="Nagwek1"/>
        <w:numPr>
          <w:ilvl w:val="0"/>
          <w:numId w:val="0"/>
        </w:numPr>
        <w:rPr>
          <w:rFonts w:eastAsiaTheme="minorHAnsi"/>
          <w:lang w:val="en-GB"/>
        </w:rPr>
      </w:pPr>
      <w:r>
        <w:rPr>
          <w:rFonts w:eastAsiaTheme="minorHAnsi"/>
          <w:lang w:val="en"/>
        </w:rPr>
        <w:t>QUESTIONNAIRE - Annex No. 1 to the Consultation Document "Change in Method</w:t>
      </w:r>
      <w:r w:rsidR="005A5354">
        <w:rPr>
          <w:rFonts w:eastAsiaTheme="minorHAnsi"/>
          <w:lang w:val="en"/>
        </w:rPr>
        <w:t>OLOGY</w:t>
      </w:r>
      <w:r>
        <w:rPr>
          <w:rFonts w:eastAsiaTheme="minorHAnsi"/>
          <w:lang w:val="en"/>
        </w:rPr>
        <w:t xml:space="preserve"> of the GPW Indices – FEBRUARY 2024</w:t>
      </w:r>
    </w:p>
    <w:p w14:paraId="7DCF7453" w14:textId="1A4FD345" w:rsidR="00192FAE" w:rsidRPr="005A5354" w:rsidRDefault="000A6AFD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"/>
        </w:rPr>
        <w:t xml:space="preserve">A company from the WIG20, mWIG40, sWIG80, or WIG30 indices that is in the process of an announced voluntary tender offer for shares as of the ranking date for the annual </w:t>
      </w:r>
      <w:r w:rsidR="005A5354">
        <w:rPr>
          <w:rFonts w:ascii="Verdana" w:hAnsi="Verdana"/>
          <w:sz w:val="18"/>
          <w:szCs w:val="18"/>
          <w:lang w:val="en"/>
        </w:rPr>
        <w:t>revision</w:t>
      </w:r>
      <w:r>
        <w:rPr>
          <w:rFonts w:ascii="Verdana" w:hAnsi="Verdana"/>
          <w:sz w:val="18"/>
          <w:szCs w:val="18"/>
          <w:lang w:val="en"/>
        </w:rPr>
        <w:t xml:space="preserve"> or periodic </w:t>
      </w:r>
      <w:r w:rsidR="005A5354">
        <w:rPr>
          <w:rFonts w:ascii="Verdana" w:hAnsi="Verdana"/>
          <w:sz w:val="18"/>
          <w:szCs w:val="18"/>
          <w:lang w:val="en"/>
        </w:rPr>
        <w:t xml:space="preserve">adjustment </w:t>
      </w:r>
      <w:r>
        <w:rPr>
          <w:rFonts w:ascii="Verdana" w:hAnsi="Verdana"/>
          <w:sz w:val="18"/>
          <w:szCs w:val="18"/>
          <w:lang w:val="en"/>
        </w:rPr>
        <w:t>should:</w:t>
      </w:r>
    </w:p>
    <w:p w14:paraId="1AAE7CD4" w14:textId="3978C6C0" w:rsidR="00192FAE" w:rsidRPr="005A5354" w:rsidRDefault="00D305B4" w:rsidP="003B3162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-17357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MS Gothic" w:eastAsia="MS Gothic" w:hAnsi="MS Gothic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remain in the current index, even if other criteria would indicate a change in qualification to a "higher" or "lower" index</w:t>
      </w:r>
    </w:p>
    <w:p w14:paraId="32F7A16A" w14:textId="407EB6DD" w:rsidR="00192FAE" w:rsidRPr="005A5354" w:rsidRDefault="00D305B4" w:rsidP="003B3162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132014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MS Gothic" w:eastAsia="MS Gothic" w:hAnsi="MS Gothic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change the index according to the existing rules, without taking the tender offer into account</w:t>
      </w:r>
    </w:p>
    <w:p w14:paraId="60F83586" w14:textId="6BA0CAF2" w:rsidR="00192FAE" w:rsidRPr="00BB2EBB" w:rsidRDefault="00D305B4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6435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MS Gothic" w:eastAsia="MS Gothic" w:hAnsi="MS Gothic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no opinion</w:t>
      </w:r>
    </w:p>
    <w:p w14:paraId="6B3693ED" w14:textId="53F55E43" w:rsidR="00D36503" w:rsidRPr="00BB2EBB" w:rsidRDefault="00192FAE" w:rsidP="00192FA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"/>
        </w:rPr>
        <w:t>Comments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rFonts w:ascii="Verdana" w:hAnsi="Verdana"/>
            <w:sz w:val="18"/>
            <w:szCs w:val="18"/>
          </w:rPr>
          <w:id w:val="1596212041"/>
          <w:placeholder>
            <w:docPart w:val="DefaultPlaceholder_-1854013440"/>
          </w:placeholder>
          <w:showingPlcHdr/>
        </w:sdtPr>
        <w:sdtEndPr/>
        <w:sdtContent>
          <w:tr w:rsidR="00192FAE" w:rsidRPr="005A1C05" w14:paraId="6FFAE7FF" w14:textId="77777777" w:rsidTr="00187BF4">
            <w:trPr>
              <w:trHeight w:val="1045"/>
            </w:trPr>
            <w:tc>
              <w:tcPr>
                <w:tcW w:w="9062" w:type="dxa"/>
              </w:tcPr>
              <w:p w14:paraId="49703054" w14:textId="10DBAB63" w:rsidR="00192FAE" w:rsidRPr="005A5354" w:rsidRDefault="00EA1845" w:rsidP="00187BF4">
                <w:pPr>
                  <w:rPr>
                    <w:rFonts w:ascii="Verdana" w:hAnsi="Verdana"/>
                    <w:sz w:val="18"/>
                    <w:szCs w:val="18"/>
                    <w:lang w:val="en-GB"/>
                  </w:rPr>
                </w:pPr>
                <w:r>
                  <w:rPr>
                    <w:rStyle w:val="Tekstzastpczy"/>
                    <w:lang w:val="en"/>
                  </w:rPr>
                  <w:t>Click or press here to enter text.</w:t>
                </w:r>
              </w:p>
            </w:tc>
          </w:tr>
        </w:sdtContent>
      </w:sdt>
    </w:tbl>
    <w:p w14:paraId="07A3078B" w14:textId="77777777" w:rsidR="00192FAE" w:rsidRPr="005A5354" w:rsidRDefault="00192FAE" w:rsidP="00192FAE">
      <w:pPr>
        <w:rPr>
          <w:rFonts w:ascii="Verdana" w:hAnsi="Verdana"/>
          <w:sz w:val="18"/>
          <w:szCs w:val="18"/>
          <w:lang w:val="en-GB"/>
        </w:rPr>
      </w:pPr>
    </w:p>
    <w:p w14:paraId="1465142C" w14:textId="73516F4E" w:rsidR="00192FAE" w:rsidRPr="005A5354" w:rsidRDefault="000A6AFD" w:rsidP="00192FA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"/>
        </w:rPr>
        <w:t xml:space="preserve">The change in the qualification criteria for companies to the WIGtechTR index should occur on the following principles: </w:t>
      </w:r>
    </w:p>
    <w:p w14:paraId="04C3AA10" w14:textId="2E7593AA" w:rsidR="00192FAE" w:rsidRPr="005A5354" w:rsidRDefault="00D305B4" w:rsidP="003B3162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4408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Segoe UI Symbol" w:eastAsia="MS Gothic" w:hAnsi="Segoe UI Symbol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described in Variant 1 of the Consultation </w:t>
      </w:r>
      <w:r w:rsidR="005A5354">
        <w:rPr>
          <w:rFonts w:ascii="Verdana" w:eastAsia="MS Gothic" w:hAnsi="Verdana" w:cs="Segoe UI Symbol"/>
          <w:sz w:val="18"/>
          <w:szCs w:val="18"/>
          <w:lang w:val="en"/>
        </w:rPr>
        <w:t>Paper</w:t>
      </w:r>
      <w:r w:rsidR="00080086">
        <w:rPr>
          <w:rFonts w:ascii="Verdana" w:eastAsia="MS Gothic" w:hAnsi="Verdana" w:cs="Segoe UI Symbol"/>
          <w:sz w:val="18"/>
          <w:szCs w:val="18"/>
          <w:lang w:val="en"/>
        </w:rPr>
        <w:t>.</w:t>
      </w:r>
    </w:p>
    <w:p w14:paraId="615FE5A0" w14:textId="54F69E4C" w:rsidR="00192FAE" w:rsidRPr="005A5354" w:rsidRDefault="00D305B4" w:rsidP="003B3162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-138032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MS Gothic" w:eastAsia="MS Gothic" w:hAnsi="MS Gothic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described in Variant 2 of the Consultation </w:t>
      </w:r>
      <w:r w:rsidR="005A5354">
        <w:rPr>
          <w:rFonts w:ascii="Verdana" w:eastAsia="MS Gothic" w:hAnsi="Verdana" w:cs="Segoe UI Symbol"/>
          <w:sz w:val="18"/>
          <w:szCs w:val="18"/>
          <w:lang w:val="en"/>
        </w:rPr>
        <w:t>Paper</w:t>
      </w:r>
      <w:r w:rsidR="00080086">
        <w:rPr>
          <w:rFonts w:ascii="Verdana" w:eastAsia="MS Gothic" w:hAnsi="Verdana" w:cs="Segoe UI Symbol"/>
          <w:sz w:val="18"/>
          <w:szCs w:val="18"/>
          <w:lang w:val="en"/>
        </w:rPr>
        <w:t>.</w:t>
      </w:r>
    </w:p>
    <w:p w14:paraId="65F8A4DC" w14:textId="0C0859C7" w:rsidR="00A672AA" w:rsidRPr="005A5354" w:rsidRDefault="00D305B4" w:rsidP="003B3162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  <w:lang w:val="en"/>
          </w:rPr>
          <w:id w:val="-191824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05">
            <w:rPr>
              <w:rFonts w:ascii="MS Gothic" w:eastAsia="MS Gothic" w:hAnsi="MS Gothic" w:cs="Segoe UI Symbol" w:hint="eastAsia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a combination of both Variants (request to expand on the proposal in the comment)</w:t>
      </w:r>
    </w:p>
    <w:p w14:paraId="0ED96863" w14:textId="45007A95" w:rsidR="00A672AA" w:rsidRPr="005A5354" w:rsidRDefault="00D305B4" w:rsidP="003B3162">
      <w:pPr>
        <w:ind w:left="708"/>
        <w:rPr>
          <w:rFonts w:ascii="Verdana" w:hAnsi="Verdana"/>
          <w:i/>
          <w:iCs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-147590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Segoe UI Symbol" w:eastAsia="MS Gothic" w:hAnsi="Segoe UI Symbol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on different principles (request to expand on the proposal in the comments section)</w:t>
      </w:r>
    </w:p>
    <w:p w14:paraId="535DB051" w14:textId="09648BB9" w:rsidR="000A6AFD" w:rsidRPr="005A5354" w:rsidRDefault="00D305B4" w:rsidP="000A6AFD">
      <w:pPr>
        <w:ind w:left="708"/>
        <w:rPr>
          <w:rFonts w:ascii="Verdana" w:hAnsi="Verdana"/>
          <w:sz w:val="18"/>
          <w:szCs w:val="18"/>
          <w:lang w:val="en-GB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-62191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MS Gothic" w:eastAsia="MS Gothic" w:hAnsi="MS Gothic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the qualification criteria should remain unchanged</w:t>
      </w:r>
    </w:p>
    <w:p w14:paraId="36F925B5" w14:textId="63860601" w:rsidR="00192FAE" w:rsidRPr="00BB2EBB" w:rsidRDefault="00D305B4" w:rsidP="003B3162">
      <w:pPr>
        <w:ind w:left="708"/>
        <w:rPr>
          <w:rFonts w:ascii="Verdana" w:hAnsi="Verdana"/>
          <w:sz w:val="18"/>
          <w:szCs w:val="18"/>
        </w:rPr>
      </w:pPr>
      <w:sdt>
        <w:sdtPr>
          <w:rPr>
            <w:rFonts w:ascii="Verdana" w:eastAsia="MS Gothic" w:hAnsi="Verdana" w:cs="Segoe UI Symbol"/>
            <w:sz w:val="18"/>
            <w:szCs w:val="18"/>
          </w:rPr>
          <w:id w:val="83942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086">
            <w:rPr>
              <w:rFonts w:ascii="Segoe UI Symbol" w:eastAsia="MS Gothic" w:hAnsi="Segoe UI Symbol" w:cs="Segoe UI Symbol"/>
              <w:sz w:val="18"/>
              <w:szCs w:val="18"/>
              <w:lang w:val="en"/>
            </w:rPr>
            <w:t>☐</w:t>
          </w:r>
        </w:sdtContent>
      </w:sdt>
      <w:r w:rsidR="00080086">
        <w:rPr>
          <w:rFonts w:ascii="Verdana" w:eastAsia="MS Gothic" w:hAnsi="Verdana" w:cs="Segoe UI Symbol"/>
          <w:sz w:val="18"/>
          <w:szCs w:val="18"/>
          <w:lang w:val="en"/>
        </w:rPr>
        <w:t xml:space="preserve"> no opinion</w:t>
      </w:r>
    </w:p>
    <w:p w14:paraId="0F2870E4" w14:textId="77777777" w:rsidR="00192FAE" w:rsidRPr="00BB2EBB" w:rsidRDefault="00192FAE" w:rsidP="00192FA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"/>
        </w:rPr>
        <w:t>Comments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5A1C05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7F9008" w14:textId="51360DBB" w:rsidR="00192FAE" w:rsidRPr="005A5354" w:rsidRDefault="00D36503" w:rsidP="00187BF4">
                <w:pPr>
                  <w:rPr>
                    <w:rFonts w:ascii="Verdana" w:hAnsi="Verdana"/>
                    <w:sz w:val="18"/>
                    <w:szCs w:val="18"/>
                    <w:lang w:val="en-GB"/>
                  </w:rPr>
                </w:pPr>
                <w:r>
                  <w:rPr>
                    <w:rStyle w:val="Tekstzastpczy"/>
                    <w:lang w:val="en"/>
                  </w:rPr>
                  <w:t>Click or press here to enter text.</w:t>
                </w:r>
              </w:p>
            </w:tc>
          </w:sdtContent>
        </w:sdt>
      </w:tr>
    </w:tbl>
    <w:p w14:paraId="5B8C3F5E" w14:textId="77777777" w:rsidR="00A672AA" w:rsidRPr="005A5354" w:rsidRDefault="00A672AA">
      <w:pPr>
        <w:rPr>
          <w:rFonts w:ascii="Verdana" w:hAnsi="Verdana"/>
          <w:sz w:val="18"/>
          <w:szCs w:val="18"/>
          <w:lang w:val="en-GB"/>
        </w:rPr>
      </w:pPr>
    </w:p>
    <w:sectPr w:rsidR="00A672AA" w:rsidRPr="005A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8226546C"/>
    <w:lvl w:ilvl="0" w:tplc="2A7E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5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xc0eRT2RlhqP9m7+6ANmGw4dSG6y/rKX0oVizHpPN1jgRsC7DmTMVTDfQ91xfeohk0DlZJbzTeeoYLFxrIveg==" w:salt="Is6qo6HdGBaJvpPdcG/S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92FAE"/>
    <w:rsid w:val="002F2B58"/>
    <w:rsid w:val="003B3162"/>
    <w:rsid w:val="00443372"/>
    <w:rsid w:val="00565DCE"/>
    <w:rsid w:val="005A1C05"/>
    <w:rsid w:val="005A5354"/>
    <w:rsid w:val="00A672AA"/>
    <w:rsid w:val="00B23848"/>
    <w:rsid w:val="00B62208"/>
    <w:rsid w:val="00BB2EBB"/>
    <w:rsid w:val="00BD0123"/>
    <w:rsid w:val="00C96483"/>
    <w:rsid w:val="00CC360C"/>
    <w:rsid w:val="00D305B4"/>
    <w:rsid w:val="00D36503"/>
    <w:rsid w:val="00D819D9"/>
    <w:rsid w:val="00E07ADF"/>
    <w:rsid w:val="00EA1845"/>
    <w:rsid w:val="00EF62A6"/>
    <w:rsid w:val="00E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FAE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styleId="Poprawka">
    <w:name w:val="Revision"/>
    <w:hidden/>
    <w:uiPriority w:val="99"/>
    <w:semiHidden/>
    <w:rsid w:val="005A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B7A14"/>
    <w:rsid w:val="00A03679"/>
    <w:rsid w:val="00D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36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3</cp:revision>
  <dcterms:created xsi:type="dcterms:W3CDTF">2024-02-28T14:44:00Z</dcterms:created>
  <dcterms:modified xsi:type="dcterms:W3CDTF">2024-02-28T14:46:00Z</dcterms:modified>
</cp:coreProperties>
</file>